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5761" w14:textId="54CFD9D2" w:rsidR="0085082B" w:rsidRDefault="0085082B">
      <w:pPr>
        <w:pStyle w:val="Titolo"/>
        <w:keepNext w:val="0"/>
        <w:keepLines w:val="0"/>
        <w:spacing w:after="0" w:line="240" w:lineRule="auto"/>
        <w:rPr>
          <w:rFonts w:ascii="Times New Roman" w:eastAsia="Times New Roman" w:hAnsi="Times New Roman" w:cs="Times New Roman"/>
          <w:b/>
          <w:sz w:val="24"/>
          <w:szCs w:val="24"/>
        </w:rPr>
      </w:pPr>
      <w:bookmarkStart w:id="0" w:name="_gjdgxs" w:colFirst="0" w:colLast="0"/>
      <w:bookmarkEnd w:id="0"/>
      <w:r w:rsidRPr="00202FE4">
        <w:rPr>
          <w:noProof/>
          <w:color w:val="888888"/>
          <w:sz w:val="16"/>
          <w:szCs w:val="16"/>
        </w:rPr>
        <w:drawing>
          <wp:inline distT="0" distB="0" distL="0" distR="0" wp14:anchorId="44E44241" wp14:editId="03CE7FD9">
            <wp:extent cx="1828800" cy="772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r="21606"/>
                    <a:stretch/>
                  </pic:blipFill>
                  <pic:spPr bwMode="auto">
                    <a:xfrm>
                      <a:off x="0" y="0"/>
                      <a:ext cx="1854064" cy="782827"/>
                    </a:xfrm>
                    <a:prstGeom prst="rect">
                      <a:avLst/>
                    </a:prstGeom>
                    <a:noFill/>
                    <a:ln>
                      <a:noFill/>
                    </a:ln>
                    <a:extLst>
                      <a:ext uri="{53640926-AAD7-44D8-BBD7-CCE9431645EC}">
                        <a14:shadowObscured xmlns:a14="http://schemas.microsoft.com/office/drawing/2010/main"/>
                      </a:ext>
                    </a:extLst>
                  </pic:spPr>
                </pic:pic>
              </a:graphicData>
            </a:graphic>
          </wp:inline>
        </w:drawing>
      </w:r>
    </w:p>
    <w:p w14:paraId="2D5FF1E6" w14:textId="77777777" w:rsidR="0085082B" w:rsidRDefault="0085082B">
      <w:pPr>
        <w:pStyle w:val="Titolo"/>
        <w:keepNext w:val="0"/>
        <w:keepLines w:val="0"/>
        <w:spacing w:after="0" w:line="240" w:lineRule="auto"/>
        <w:rPr>
          <w:rFonts w:ascii="Times New Roman" w:eastAsia="Times New Roman" w:hAnsi="Times New Roman" w:cs="Times New Roman"/>
          <w:b/>
          <w:sz w:val="24"/>
          <w:szCs w:val="24"/>
        </w:rPr>
      </w:pPr>
    </w:p>
    <w:p w14:paraId="5BB7D47D" w14:textId="5F57262A" w:rsidR="00B10AE1" w:rsidRPr="0085082B" w:rsidRDefault="009567B4">
      <w:pPr>
        <w:pStyle w:val="Titolo"/>
        <w:keepNext w:val="0"/>
        <w:keepLines w:val="0"/>
        <w:spacing w:after="0" w:line="240" w:lineRule="auto"/>
        <w:rPr>
          <w:rFonts w:ascii="Times New Roman" w:eastAsia="Times New Roman" w:hAnsi="Times New Roman" w:cs="Times New Roman"/>
          <w:sz w:val="24"/>
          <w:szCs w:val="24"/>
        </w:rPr>
      </w:pPr>
      <w:r w:rsidRPr="0085082B">
        <w:rPr>
          <w:rFonts w:ascii="Times New Roman" w:eastAsia="Times New Roman" w:hAnsi="Times New Roman" w:cs="Times New Roman"/>
          <w:b/>
          <w:sz w:val="24"/>
          <w:szCs w:val="24"/>
        </w:rPr>
        <w:t>ABA Palermo</w:t>
      </w:r>
      <w:r w:rsidRPr="0085082B">
        <w:rPr>
          <w:rFonts w:ascii="Times New Roman" w:eastAsia="Times New Roman" w:hAnsi="Times New Roman" w:cs="Times New Roman"/>
          <w:b/>
          <w:sz w:val="24"/>
          <w:szCs w:val="24"/>
        </w:rPr>
        <w:br/>
        <w:t>Corso di Beni Culturali e Ambientali</w:t>
      </w:r>
      <w:r w:rsidRPr="0085082B">
        <w:rPr>
          <w:rFonts w:ascii="Times New Roman" w:eastAsia="Times New Roman" w:hAnsi="Times New Roman" w:cs="Times New Roman"/>
          <w:b/>
          <w:sz w:val="24"/>
          <w:szCs w:val="24"/>
        </w:rPr>
        <w:br/>
      </w:r>
      <w:r w:rsidR="00273EB0" w:rsidRPr="0085082B">
        <w:rPr>
          <w:rFonts w:ascii="Times New Roman" w:eastAsia="Times New Roman" w:hAnsi="Times New Roman" w:cs="Times New Roman"/>
          <w:sz w:val="24"/>
          <w:szCs w:val="24"/>
        </w:rPr>
        <w:t>I</w:t>
      </w:r>
      <w:r w:rsidRPr="0085082B">
        <w:rPr>
          <w:rFonts w:ascii="Times New Roman" w:eastAsia="Times New Roman" w:hAnsi="Times New Roman" w:cs="Times New Roman"/>
          <w:sz w:val="24"/>
          <w:szCs w:val="24"/>
        </w:rPr>
        <w:t xml:space="preserve">I semestre </w:t>
      </w:r>
      <w:proofErr w:type="spellStart"/>
      <w:r w:rsidRPr="0085082B">
        <w:rPr>
          <w:rFonts w:ascii="Times New Roman" w:eastAsia="Times New Roman" w:hAnsi="Times New Roman" w:cs="Times New Roman"/>
          <w:sz w:val="24"/>
          <w:szCs w:val="24"/>
        </w:rPr>
        <w:t>a.a</w:t>
      </w:r>
      <w:proofErr w:type="spellEnd"/>
      <w:r w:rsidRPr="0085082B">
        <w:rPr>
          <w:rFonts w:ascii="Times New Roman" w:eastAsia="Times New Roman" w:hAnsi="Times New Roman" w:cs="Times New Roman"/>
          <w:sz w:val="24"/>
          <w:szCs w:val="24"/>
        </w:rPr>
        <w:t>. 202</w:t>
      </w:r>
      <w:r w:rsidR="00273EB0" w:rsidRPr="0085082B">
        <w:rPr>
          <w:rFonts w:ascii="Times New Roman" w:eastAsia="Times New Roman" w:hAnsi="Times New Roman" w:cs="Times New Roman"/>
          <w:sz w:val="24"/>
          <w:szCs w:val="24"/>
        </w:rPr>
        <w:t>3</w:t>
      </w:r>
      <w:r w:rsidRPr="0085082B">
        <w:rPr>
          <w:rFonts w:ascii="Times New Roman" w:eastAsia="Times New Roman" w:hAnsi="Times New Roman" w:cs="Times New Roman"/>
          <w:sz w:val="24"/>
          <w:szCs w:val="24"/>
        </w:rPr>
        <w:t>/202</w:t>
      </w:r>
      <w:r w:rsidR="00273EB0" w:rsidRPr="0085082B">
        <w:rPr>
          <w:rFonts w:ascii="Times New Roman" w:eastAsia="Times New Roman" w:hAnsi="Times New Roman" w:cs="Times New Roman"/>
          <w:sz w:val="24"/>
          <w:szCs w:val="24"/>
        </w:rPr>
        <w:t>4</w:t>
      </w:r>
    </w:p>
    <w:p w14:paraId="365FAD8E" w14:textId="77777777" w:rsidR="00B10AE1" w:rsidRPr="0085082B" w:rsidRDefault="009567B4">
      <w:pPr>
        <w:pStyle w:val="Sottotitolo"/>
        <w:keepNext w:val="0"/>
        <w:keepLines w:val="0"/>
        <w:spacing w:before="200" w:after="0" w:line="240" w:lineRule="auto"/>
        <w:rPr>
          <w:rFonts w:ascii="Times New Roman" w:eastAsia="Times New Roman" w:hAnsi="Times New Roman" w:cs="Times New Roman"/>
          <w:sz w:val="24"/>
          <w:szCs w:val="24"/>
        </w:rPr>
      </w:pPr>
      <w:bookmarkStart w:id="1" w:name="_30j0zll" w:colFirst="0" w:colLast="0"/>
      <w:bookmarkEnd w:id="1"/>
      <w:r w:rsidRPr="0085082B">
        <w:rPr>
          <w:rFonts w:ascii="Times New Roman" w:eastAsia="Times New Roman" w:hAnsi="Times New Roman" w:cs="Times New Roman"/>
          <w:sz w:val="24"/>
          <w:szCs w:val="24"/>
        </w:rPr>
        <w:t>Professore: Giuseppe Cipolla</w:t>
      </w:r>
    </w:p>
    <w:bookmarkStart w:id="2" w:name="_1fob9te" w:colFirst="0" w:colLast="0"/>
    <w:bookmarkEnd w:id="2"/>
    <w:p w14:paraId="0F91FAE1" w14:textId="531003A0" w:rsidR="00B10AE1" w:rsidRPr="0085082B" w:rsidRDefault="00C90BDA">
      <w:pPr>
        <w:pStyle w:val="Sottotitolo"/>
        <w:keepNext w:val="0"/>
        <w:keepLines w:val="0"/>
        <w:spacing w:after="0" w:line="240" w:lineRule="auto"/>
        <w:rPr>
          <w:rFonts w:ascii="Times New Roman" w:eastAsia="Times New Roman" w:hAnsi="Times New Roman" w:cs="Times New Roman"/>
          <w:color w:val="8C7252"/>
          <w:sz w:val="24"/>
          <w:szCs w:val="24"/>
        </w:rPr>
      </w:pPr>
      <w:r w:rsidRPr="0085082B">
        <w:rPr>
          <w:rFonts w:ascii="Times New Roman" w:eastAsia="Times New Roman" w:hAnsi="Times New Roman" w:cs="Times New Roman"/>
          <w:color w:val="8C7252"/>
          <w:sz w:val="24"/>
          <w:szCs w:val="24"/>
        </w:rPr>
        <w:fldChar w:fldCharType="begin"/>
      </w:r>
      <w:r w:rsidRPr="0085082B">
        <w:rPr>
          <w:rFonts w:ascii="Times New Roman" w:eastAsia="Times New Roman" w:hAnsi="Times New Roman" w:cs="Times New Roman"/>
          <w:color w:val="8C7252"/>
          <w:sz w:val="24"/>
          <w:szCs w:val="24"/>
        </w:rPr>
        <w:instrText xml:space="preserve"> HYPERLINK "mailto:giuseppe.cipolla@abapa.education.it" </w:instrText>
      </w:r>
      <w:r w:rsidRPr="0085082B">
        <w:rPr>
          <w:rFonts w:ascii="Times New Roman" w:eastAsia="Times New Roman" w:hAnsi="Times New Roman" w:cs="Times New Roman"/>
          <w:color w:val="8C7252"/>
          <w:sz w:val="24"/>
          <w:szCs w:val="24"/>
        </w:rPr>
        <w:fldChar w:fldCharType="separate"/>
      </w:r>
      <w:r w:rsidRPr="0085082B">
        <w:rPr>
          <w:rStyle w:val="Collegamentoipertestuale"/>
          <w:rFonts w:ascii="Times New Roman" w:eastAsia="Times New Roman" w:hAnsi="Times New Roman" w:cs="Times New Roman"/>
          <w:sz w:val="24"/>
          <w:szCs w:val="24"/>
        </w:rPr>
        <w:t>giuseppe.cipolla@abapa.education.it</w:t>
      </w:r>
      <w:r w:rsidRPr="0085082B">
        <w:rPr>
          <w:rFonts w:ascii="Times New Roman" w:eastAsia="Times New Roman" w:hAnsi="Times New Roman" w:cs="Times New Roman"/>
          <w:color w:val="8C7252"/>
          <w:sz w:val="24"/>
          <w:szCs w:val="24"/>
        </w:rPr>
        <w:fldChar w:fldCharType="end"/>
      </w:r>
    </w:p>
    <w:p w14:paraId="28B0E2BD" w14:textId="2867F35C" w:rsidR="00C90BDA" w:rsidRPr="0085082B" w:rsidRDefault="00C90BDA" w:rsidP="00C90BDA">
      <w:pPr>
        <w:rPr>
          <w:rFonts w:ascii="Times New Roman" w:hAnsi="Times New Roman" w:cs="Times New Roman"/>
          <w:sz w:val="24"/>
          <w:szCs w:val="24"/>
        </w:rPr>
      </w:pPr>
    </w:p>
    <w:p w14:paraId="36EFC8EB" w14:textId="170DB1EB" w:rsidR="00C90BDA" w:rsidRPr="0085082B" w:rsidRDefault="00C90BDA" w:rsidP="00C90BDA">
      <w:pPr>
        <w:rPr>
          <w:rFonts w:ascii="Times New Roman" w:hAnsi="Times New Roman" w:cs="Times New Roman"/>
          <w:sz w:val="24"/>
          <w:szCs w:val="24"/>
        </w:rPr>
      </w:pPr>
      <w:r w:rsidRPr="0085082B">
        <w:rPr>
          <w:rFonts w:ascii="Times New Roman" w:hAnsi="Times New Roman" w:cs="Times New Roman"/>
          <w:sz w:val="24"/>
          <w:szCs w:val="24"/>
        </w:rPr>
        <w:t>Corsi di:</w:t>
      </w:r>
    </w:p>
    <w:p w14:paraId="036F3860" w14:textId="76CC2274" w:rsidR="00C90BDA" w:rsidRPr="0085082B" w:rsidRDefault="00C90BDA" w:rsidP="00C90BDA">
      <w:pPr>
        <w:rPr>
          <w:rFonts w:ascii="Times New Roman" w:hAnsi="Times New Roman" w:cs="Times New Roman"/>
          <w:sz w:val="24"/>
          <w:szCs w:val="24"/>
        </w:rPr>
      </w:pPr>
      <w:r w:rsidRPr="0085082B">
        <w:rPr>
          <w:rFonts w:ascii="Times New Roman" w:hAnsi="Times New Roman" w:cs="Times New Roman"/>
          <w:sz w:val="24"/>
          <w:szCs w:val="24"/>
        </w:rPr>
        <w:t>Didattica dell’Arte (4cfa)</w:t>
      </w:r>
    </w:p>
    <w:p w14:paraId="1052C38A" w14:textId="412AB03E" w:rsidR="00C90BDA" w:rsidRPr="0085082B" w:rsidRDefault="00C90BDA" w:rsidP="00C90BDA">
      <w:pPr>
        <w:rPr>
          <w:rFonts w:ascii="Times New Roman" w:hAnsi="Times New Roman" w:cs="Times New Roman"/>
          <w:sz w:val="24"/>
          <w:szCs w:val="24"/>
        </w:rPr>
      </w:pPr>
      <w:r w:rsidRPr="0085082B">
        <w:rPr>
          <w:rFonts w:ascii="Times New Roman" w:hAnsi="Times New Roman" w:cs="Times New Roman"/>
          <w:sz w:val="24"/>
          <w:szCs w:val="24"/>
        </w:rPr>
        <w:t xml:space="preserve">Restauro (6 </w:t>
      </w:r>
      <w:proofErr w:type="spellStart"/>
      <w:r w:rsidRPr="0085082B">
        <w:rPr>
          <w:rFonts w:ascii="Times New Roman" w:hAnsi="Times New Roman" w:cs="Times New Roman"/>
          <w:sz w:val="24"/>
          <w:szCs w:val="24"/>
        </w:rPr>
        <w:t>cfa</w:t>
      </w:r>
      <w:proofErr w:type="spellEnd"/>
      <w:r w:rsidRPr="0085082B">
        <w:rPr>
          <w:rFonts w:ascii="Times New Roman" w:hAnsi="Times New Roman" w:cs="Times New Roman"/>
          <w:sz w:val="24"/>
          <w:szCs w:val="24"/>
        </w:rPr>
        <w:t>)</w:t>
      </w:r>
    </w:p>
    <w:p w14:paraId="6E52387E" w14:textId="77777777" w:rsidR="00B10AE1" w:rsidRDefault="009567B4">
      <w:pPr>
        <w:spacing w:before="200" w:line="360" w:lineRule="auto"/>
        <w:rPr>
          <w:rFonts w:ascii="Times New Roman" w:eastAsia="Times New Roman" w:hAnsi="Times New Roman" w:cs="Times New Roman"/>
        </w:rPr>
      </w:pPr>
      <w:r>
        <w:rPr>
          <w:rFonts w:ascii="Times New Roman" w:eastAsia="Times New Roman" w:hAnsi="Times New Roman" w:cs="Times New Roman"/>
          <w:noProof/>
          <w:sz w:val="24"/>
          <w:szCs w:val="24"/>
        </w:rPr>
        <w:drawing>
          <wp:inline distT="114300" distB="114300" distL="114300" distR="114300" wp14:anchorId="13E4C3E2" wp14:editId="4A3B6CA0">
            <wp:extent cx="5734050" cy="38100"/>
            <wp:effectExtent l="0" t="0" r="0" b="0"/>
            <wp:docPr id="2" name="image1.png" descr="linea orizzontale"/>
            <wp:cNvGraphicFramePr/>
            <a:graphic xmlns:a="http://schemas.openxmlformats.org/drawingml/2006/main">
              <a:graphicData uri="http://schemas.openxmlformats.org/drawingml/2006/picture">
                <pic:pic xmlns:pic="http://schemas.openxmlformats.org/drawingml/2006/picture">
                  <pic:nvPicPr>
                    <pic:cNvPr id="0" name="image1.png" descr="linea orizzontale"/>
                    <pic:cNvPicPr preferRelativeResize="0"/>
                  </pic:nvPicPr>
                  <pic:blipFill>
                    <a:blip r:embed="rId6"/>
                    <a:srcRect/>
                    <a:stretch>
                      <a:fillRect/>
                    </a:stretch>
                  </pic:blipFill>
                  <pic:spPr>
                    <a:xfrm>
                      <a:off x="0" y="0"/>
                      <a:ext cx="5734050" cy="38100"/>
                    </a:xfrm>
                    <a:prstGeom prst="rect">
                      <a:avLst/>
                    </a:prstGeom>
                    <a:ln/>
                  </pic:spPr>
                </pic:pic>
              </a:graphicData>
            </a:graphic>
          </wp:inline>
        </w:drawing>
      </w:r>
    </w:p>
    <w:p w14:paraId="634E20CC" w14:textId="77777777" w:rsidR="00B10AE1" w:rsidRDefault="009567B4">
      <w:pPr>
        <w:pStyle w:val="Titolo1"/>
        <w:keepNext w:val="0"/>
        <w:keepLines w:val="0"/>
        <w:spacing w:before="200" w:after="0" w:line="360" w:lineRule="auto"/>
        <w:rPr>
          <w:rFonts w:ascii="Times New Roman" w:eastAsia="Times New Roman" w:hAnsi="Times New Roman" w:cs="Times New Roman"/>
          <w:b/>
          <w:sz w:val="32"/>
          <w:szCs w:val="32"/>
        </w:rPr>
      </w:pPr>
      <w:bookmarkStart w:id="3" w:name="_3znysh7" w:colFirst="0" w:colLast="0"/>
      <w:bookmarkEnd w:id="3"/>
      <w:r>
        <w:rPr>
          <w:rFonts w:ascii="Times New Roman" w:eastAsia="Times New Roman" w:hAnsi="Times New Roman" w:cs="Times New Roman"/>
          <w:b/>
          <w:sz w:val="32"/>
          <w:szCs w:val="32"/>
        </w:rPr>
        <w:t>Programma didattico</w:t>
      </w:r>
    </w:p>
    <w:p w14:paraId="474D2905" w14:textId="77777777" w:rsidR="00B10AE1" w:rsidRDefault="00B10AE1"/>
    <w:p w14:paraId="762B88C5" w14:textId="77777777" w:rsidR="00B10AE1" w:rsidRDefault="009567B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Presentazione</w:t>
      </w:r>
    </w:p>
    <w:p w14:paraId="7F2AD33E" w14:textId="66CAC11A"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corso di Beni Culturali e Ambientali è incentrato principalmente sugli studi teorici, storici e metodologici sul patrimonio culturale nel suo insieme, sul paesaggio, sulle singole categorie di beni individuati dalle tradizionali suddivisioni disciplinari e di più recente individuazione, in quanto oggetto di conoscenza, tutela e valorizzazione.  Si rivolge, inoltre, agli studi</w:t>
      </w:r>
      <w:r w:rsidR="00AF69F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sulla  fruizione</w:t>
      </w:r>
      <w:proofErr w:type="gramEnd"/>
      <w:r>
        <w:rPr>
          <w:rFonts w:ascii="Times New Roman" w:eastAsia="Times New Roman" w:hAnsi="Times New Roman" w:cs="Times New Roman"/>
          <w:sz w:val="24"/>
          <w:szCs w:val="24"/>
        </w:rPr>
        <w:t xml:space="preserve"> e  sui  principi,  i  metodi,  gli  strumenti  e  la  progettazione  delle diverse  forme  della  relazione  tra  il  pubblico  e  gli  oggetti  che  formano  il patrimonio culturale.</w:t>
      </w:r>
    </w:p>
    <w:p w14:paraId="28F6DE19" w14:textId="77777777"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Obiettivo primario del corso è, in prima istanza, quello di giungere alla definizione del concetto di “Bene culturale” in senso esteso partendo innanzitutto dalla storia della conservazione e della legislazione in Italia in materia di beni culturali, illustrando le tappe e l’evolversi degli studi storico-artistici e degli interventi del mondo della cultura in favore dei beni culturali ad opera dei “padri” della storia dell’arte italiana che hanno posto le basi per l’odierna legislazione sui beni culturali tra Otto e Novecento: da Giovanni Cavalcaselle ad Adolfo Venturi, da Giuseppe </w:t>
      </w:r>
      <w:proofErr w:type="spellStart"/>
      <w:r>
        <w:rPr>
          <w:rFonts w:ascii="Times New Roman" w:eastAsia="Times New Roman" w:hAnsi="Times New Roman" w:cs="Times New Roman"/>
          <w:sz w:val="24"/>
          <w:szCs w:val="24"/>
        </w:rPr>
        <w:t>Paribeni</w:t>
      </w:r>
      <w:proofErr w:type="spellEnd"/>
      <w:r>
        <w:rPr>
          <w:rFonts w:ascii="Times New Roman" w:eastAsia="Times New Roman" w:hAnsi="Times New Roman" w:cs="Times New Roman"/>
          <w:sz w:val="24"/>
          <w:szCs w:val="24"/>
        </w:rPr>
        <w:t xml:space="preserve"> a  Corrado Ricci, da Ranuccio Bianchi Bandinelli a Cesare Brandi ecc. Lo studio dei beni culturali e ambientali comprende la tutela e la valorizzazione.</w:t>
      </w:r>
    </w:p>
    <w:p w14:paraId="21B32034" w14:textId="6A6483DA"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tutela si articola nei seguenti momenti basilari: conoscenza, prevenzione, conservazione e restauro. Non si può tutelare, né valorizzare un monumento o qualsiasi opera d’arte se non si conosce scientificamente o si conosce solo parzialmente. Le lezioni e la programmazione del lavoro consistono quindi in una serie di analisi riferite, per la maggior parte delle ricerche, alla conoscenza</w:t>
      </w:r>
      <w:r w:rsidR="00AF69F7">
        <w:rPr>
          <w:rFonts w:ascii="Times New Roman" w:eastAsia="Times New Roman" w:hAnsi="Times New Roman" w:cs="Times New Roman"/>
          <w:sz w:val="24"/>
          <w:szCs w:val="24"/>
        </w:rPr>
        <w:t xml:space="preserve"> delle problematiche inerenti </w:t>
      </w:r>
      <w:proofErr w:type="gramStart"/>
      <w:r w:rsidR="00AF69F7">
        <w:rPr>
          <w:rFonts w:ascii="Times New Roman" w:eastAsia="Times New Roman" w:hAnsi="Times New Roman" w:cs="Times New Roman"/>
          <w:sz w:val="24"/>
          <w:szCs w:val="24"/>
        </w:rPr>
        <w:t>la</w:t>
      </w:r>
      <w:proofErr w:type="gramEnd"/>
      <w:r w:rsidR="00AF69F7">
        <w:rPr>
          <w:rFonts w:ascii="Times New Roman" w:eastAsia="Times New Roman" w:hAnsi="Times New Roman" w:cs="Times New Roman"/>
          <w:sz w:val="24"/>
          <w:szCs w:val="24"/>
        </w:rPr>
        <w:t xml:space="preserve"> conservazione dei</w:t>
      </w:r>
      <w:r>
        <w:rPr>
          <w:rFonts w:ascii="Times New Roman" w:eastAsia="Times New Roman" w:hAnsi="Times New Roman" w:cs="Times New Roman"/>
          <w:sz w:val="24"/>
          <w:szCs w:val="24"/>
        </w:rPr>
        <w:t xml:space="preserve"> beni culturali</w:t>
      </w:r>
      <w:r w:rsidR="00AF69F7">
        <w:rPr>
          <w:rFonts w:ascii="Times New Roman" w:eastAsia="Times New Roman" w:hAnsi="Times New Roman" w:cs="Times New Roman"/>
          <w:sz w:val="24"/>
          <w:szCs w:val="24"/>
        </w:rPr>
        <w:t>, con riferimento anche</w:t>
      </w:r>
      <w:r>
        <w:rPr>
          <w:rFonts w:ascii="Times New Roman" w:eastAsia="Times New Roman" w:hAnsi="Times New Roman" w:cs="Times New Roman"/>
          <w:sz w:val="24"/>
          <w:szCs w:val="24"/>
        </w:rPr>
        <w:t xml:space="preserve"> </w:t>
      </w:r>
      <w:r w:rsidR="00AF69F7">
        <w:rPr>
          <w:rFonts w:ascii="Times New Roman" w:eastAsia="Times New Roman" w:hAnsi="Times New Roman" w:cs="Times New Roman"/>
          <w:sz w:val="24"/>
          <w:szCs w:val="24"/>
        </w:rPr>
        <w:t>alla</w:t>
      </w:r>
      <w:r>
        <w:rPr>
          <w:rFonts w:ascii="Times New Roman" w:eastAsia="Times New Roman" w:hAnsi="Times New Roman" w:cs="Times New Roman"/>
          <w:sz w:val="24"/>
          <w:szCs w:val="24"/>
        </w:rPr>
        <w:t xml:space="preserve"> Sicilia, suddivisi per tipologie (monumenti, musei, biblioteche ecc..).</w:t>
      </w:r>
    </w:p>
    <w:p w14:paraId="6FE72A6D" w14:textId="347B4510"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prevenzione si attua mediante metodologie scientifiche innovative creando condizioni ottimali per la conservazione dei vari monumenti, neutralizzando gli agenti di offesa del bene. Il compito della prevenzione non può ovviamente essere affidato alla scuola, che può solo limitarsi alla conoscenza, allo studio ed al rilevamento del bene, ma alle amministrazioni ed alla soprintendenza</w:t>
      </w:r>
      <w:r w:rsidR="00AF6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 </w:t>
      </w:r>
      <w:r w:rsidR="00AF69F7">
        <w:rPr>
          <w:rFonts w:ascii="Times New Roman" w:eastAsia="Times New Roman" w:hAnsi="Times New Roman" w:cs="Times New Roman"/>
          <w:sz w:val="24"/>
          <w:szCs w:val="24"/>
        </w:rPr>
        <w:t xml:space="preserve">quanto concerne la </w:t>
      </w:r>
      <w:r>
        <w:rPr>
          <w:rFonts w:ascii="Times New Roman" w:eastAsia="Times New Roman" w:hAnsi="Times New Roman" w:cs="Times New Roman"/>
          <w:sz w:val="24"/>
          <w:szCs w:val="24"/>
        </w:rPr>
        <w:t xml:space="preserve">conservazione e </w:t>
      </w:r>
      <w:r w:rsidR="00AF69F7">
        <w:rPr>
          <w:rFonts w:ascii="Times New Roman" w:eastAsia="Times New Roman" w:hAnsi="Times New Roman" w:cs="Times New Roman"/>
          <w:sz w:val="24"/>
          <w:szCs w:val="24"/>
        </w:rPr>
        <w:t>il r</w:t>
      </w:r>
      <w:r>
        <w:rPr>
          <w:rFonts w:ascii="Times New Roman" w:eastAsia="Times New Roman" w:hAnsi="Times New Roman" w:cs="Times New Roman"/>
          <w:sz w:val="24"/>
          <w:szCs w:val="24"/>
        </w:rPr>
        <w:t xml:space="preserve">estauro </w:t>
      </w:r>
      <w:r w:rsidR="00AF69F7">
        <w:rPr>
          <w:rFonts w:ascii="Times New Roman" w:eastAsia="Times New Roman" w:hAnsi="Times New Roman" w:cs="Times New Roman"/>
          <w:sz w:val="24"/>
          <w:szCs w:val="24"/>
        </w:rPr>
        <w:t>si farà inevitabile riferimento al</w:t>
      </w:r>
      <w:r>
        <w:rPr>
          <w:rFonts w:ascii="Times New Roman" w:eastAsia="Times New Roman" w:hAnsi="Times New Roman" w:cs="Times New Roman"/>
          <w:sz w:val="24"/>
          <w:szCs w:val="24"/>
        </w:rPr>
        <w:t>lo studio della teoria del restauro di Cesare Brandi, i cui principi fondamentali, applicabili a tutte le discipline, rimangono ancora oggi un riferimento imprescindibile per qualsiasi intervento</w:t>
      </w:r>
      <w:r w:rsidR="00AF69F7">
        <w:rPr>
          <w:rFonts w:ascii="Times New Roman" w:eastAsia="Times New Roman" w:hAnsi="Times New Roman" w:cs="Times New Roman"/>
          <w:sz w:val="24"/>
          <w:szCs w:val="24"/>
        </w:rPr>
        <w:t xml:space="preserve"> e conoscenza basilare del restauro moderno. </w:t>
      </w:r>
    </w:p>
    <w:p w14:paraId="12539900" w14:textId="77777777"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valorizzazione si attua attraverso sistemi di organizzazione, fruizione e recupero. La riorganizzazione dei musei, dei parchi, dell’ambiente dei centri storici, deve poter rispondere a precise esigenze culturali. </w:t>
      </w:r>
    </w:p>
    <w:p w14:paraId="17E593F4" w14:textId="7FF0532A"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Verranno svolti studi e ricerche nel campo della museografia e della museologia in quanto il Museo sta acquistando sempre più un ruolo fondamentale per la conoscenza diretta delle opere d’arte e per l’applicazione di nuove tecnologie e sistemi multimediali. Lo spazio museale consente inoltre lo sviluppo di un proficuo rapporto con il mondo scolastico e la didattica.</w:t>
      </w:r>
      <w:r w:rsidR="00AF6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quanto tema specifico di “oggetto” architettonico, inserito nel contesto spaziale di antichi edifici di città storiche o nelle grandi metropoli, è divenuto argomento centrale nel dibattito sull’urbanistica.</w:t>
      </w:r>
      <w:r w:rsidR="00AF69F7">
        <w:rPr>
          <w:rFonts w:ascii="Times New Roman" w:eastAsia="Times New Roman" w:hAnsi="Times New Roman" w:cs="Times New Roman"/>
          <w:sz w:val="24"/>
          <w:szCs w:val="24"/>
        </w:rPr>
        <w:t xml:space="preserve"> Infine, una parte monografica sarà dedicata a un tema specifico: l’apporto critico degli intellettuali del Novecento alla difesa dei beni culturali. Tanti scrittori e uomini di scienza e cultura nel corso del XX secolo si sono battuti, infatti, in diverse campagne di sensibilizzazione o tramite scritti militanti o interventi mirati alla salvaguardia dell’arte e del patrimonio storico- artistico nazionale. Spunti di partenza a volte cruciali per sviluppare una </w:t>
      </w:r>
      <w:r w:rsidR="00AF69F7">
        <w:rPr>
          <w:rFonts w:ascii="Times New Roman" w:eastAsia="Times New Roman" w:hAnsi="Times New Roman" w:cs="Times New Roman"/>
          <w:sz w:val="24"/>
          <w:szCs w:val="24"/>
        </w:rPr>
        <w:lastRenderedPageBreak/>
        <w:t>coscienza e una cultura di tutela e di preservazione della memoria e dell’identità culturale italiana.</w:t>
      </w:r>
    </w:p>
    <w:p w14:paraId="5D69C7BD" w14:textId="77777777"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207E2B" w14:textId="77777777" w:rsidR="00B10AE1" w:rsidRDefault="009567B4">
      <w:pPr>
        <w:shd w:val="clear" w:color="auto" w:fill="FFFFFF"/>
        <w:spacing w:before="240" w:line="39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Finalità del corso</w:t>
      </w:r>
    </w:p>
    <w:p w14:paraId="7F950FA9" w14:textId="77777777" w:rsidR="00B10AE1" w:rsidRDefault="009567B4">
      <w:pPr>
        <w:shd w:val="clear" w:color="auto" w:fill="FFFFFF"/>
        <w:spacing w:before="240" w:line="3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corso tratterà la tutela dei beni culturali e ambientali sia sotto gli aspetti storici e di trasformazione terminologica e concettuale, che nell’attuale configurazione amministrativa e giuridica. Lo studente dovrà acquisire una matura consapevolezza del ruolo e del significato del patrimonio culturale per l’identità nazionale e locale, nonché per il suo valore universale di coesione e integrazione sovrannazionale. La consapevolezza delle vicende storiche della tutela dovrà, inoltre, essere ampliata verso le prospettive future di una azione sempre più partecipata e attiva da parte della cittadinanza.</w:t>
      </w:r>
    </w:p>
    <w:p w14:paraId="1486B0A5" w14:textId="77777777" w:rsidR="00B10AE1" w:rsidRDefault="009567B4">
      <w:pPr>
        <w:shd w:val="clear" w:color="auto" w:fill="FFFFFF"/>
        <w:spacing w:before="240" w:line="39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E33734D" w14:textId="41B36799" w:rsidR="00B10AE1" w:rsidRDefault="009567B4">
      <w:pPr>
        <w:shd w:val="clear" w:color="auto" w:fill="FFFFFF"/>
        <w:spacing w:before="240" w:line="39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del corso</w:t>
      </w:r>
    </w:p>
    <w:p w14:paraId="66DAFDC7"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 programma sarà così articolato:</w:t>
      </w:r>
    </w:p>
    <w:p w14:paraId="7A46ACF5"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Cosa si intende per Bene Culturale:</w:t>
      </w:r>
    </w:p>
    <w:p w14:paraId="046621E7" w14:textId="42E51603" w:rsidR="00B10AE1" w:rsidRDefault="009567B4">
      <w:pPr>
        <w:shd w:val="clear" w:color="auto" w:fill="FFFFFF"/>
        <w:spacing w:line="392"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Beni di cultura materiale, correlati alle arti visive: Siti archeologici, Musei, collezioni d’arte pubbliche e private, Biblioteche e archivi, Beni architettonici e ambientali, Arte contemporanea come bene culturale; Beni di cultura immateriale, in senso lato: Tradizioni orali, musica, canto, teatro, danza, etc.; Chi si occupa della valorizzazione dei BB.CC. in Italia: Il </w:t>
      </w:r>
      <w:proofErr w:type="spellStart"/>
      <w:r>
        <w:rPr>
          <w:rFonts w:ascii="Times New Roman" w:eastAsia="Times New Roman" w:hAnsi="Times New Roman" w:cs="Times New Roman"/>
          <w:sz w:val="24"/>
          <w:szCs w:val="24"/>
        </w:rPr>
        <w:t>MiC</w:t>
      </w:r>
      <w:proofErr w:type="spellEnd"/>
      <w:r>
        <w:rPr>
          <w:rFonts w:ascii="Times New Roman" w:eastAsia="Times New Roman" w:hAnsi="Times New Roman" w:cs="Times New Roman"/>
          <w:sz w:val="24"/>
          <w:szCs w:val="24"/>
        </w:rPr>
        <w:t xml:space="preserve">, Ministero dei Beni Ambientali e Culturali, le Direzioni Regionali per i Beni Culturali e Paesaggistici, Soprintendenze per Beni Archeologici, Soprintendenze per i Beni Storici e Artistici, Soprintendenze ai Beni Architettonici e Paesaggistici, Soprintendenze per i Beni Librari e </w:t>
      </w:r>
      <w:proofErr w:type="spellStart"/>
      <w:r>
        <w:rPr>
          <w:rFonts w:ascii="Times New Roman" w:eastAsia="Times New Roman" w:hAnsi="Times New Roman" w:cs="Times New Roman"/>
          <w:sz w:val="24"/>
          <w:szCs w:val="24"/>
        </w:rPr>
        <w:t>Sop</w:t>
      </w:r>
      <w:proofErr w:type="spellEnd"/>
      <w:r>
        <w:rPr>
          <w:rFonts w:ascii="Times New Roman" w:eastAsia="Times New Roman" w:hAnsi="Times New Roman" w:cs="Times New Roman"/>
          <w:sz w:val="24"/>
          <w:szCs w:val="24"/>
        </w:rPr>
        <w:t xml:space="preserve">. Archivistiche, Gli Assessorati alla Cultura di Regioni, Province e Comuni; Fondazioni, Associazioni culturali, Enti No Profit, Onlus; Case History; FAI - Fondo per l’Ambiente Italiano; Centro UNESCO; Dall’Identità Visiva alle Strategie di Marketing; L’Immagine Coordinata - Corporate Identity; Elementi base dell’identità visiva; Marchio, Logotipo, Colori e Caratteri istituzionali, Applicazioni degli elementi base; </w:t>
      </w:r>
      <w:r>
        <w:rPr>
          <w:rFonts w:ascii="Times New Roman" w:eastAsia="Times New Roman" w:hAnsi="Times New Roman" w:cs="Times New Roman"/>
          <w:sz w:val="24"/>
          <w:szCs w:val="24"/>
        </w:rPr>
        <w:lastRenderedPageBreak/>
        <w:t xml:space="preserve">Segnaletica esterna e interna; Stampati, Brochure istituzionale, house </w:t>
      </w:r>
      <w:proofErr w:type="spellStart"/>
      <w:r>
        <w:rPr>
          <w:rFonts w:ascii="Times New Roman" w:eastAsia="Times New Roman" w:hAnsi="Times New Roman" w:cs="Times New Roman"/>
          <w:sz w:val="24"/>
          <w:szCs w:val="24"/>
        </w:rPr>
        <w:t>organ</w:t>
      </w:r>
      <w:proofErr w:type="spellEnd"/>
      <w:r>
        <w:rPr>
          <w:rFonts w:ascii="Times New Roman" w:eastAsia="Times New Roman" w:hAnsi="Times New Roman" w:cs="Times New Roman"/>
          <w:sz w:val="24"/>
          <w:szCs w:val="24"/>
        </w:rPr>
        <w:t xml:space="preserve">, cataloghi, Ambienti, arredi, divise, mezzi di trasporto, gadget; Sito internet e comunicazione tramite rete internet; Pubblicità e Promozione; Pubbliche Relazioni e Ufficio Stampa; Attività di promozione: Organizzazione di mostre temporanee: personali, collettive, tematiche, cronologiche etc., Organizzazione di conferenze ed eventi; Organizzazione di gruppi di sostegno: Amici della … , Soci Sostenitori, Trustees e varie forme di mecenatismo; Uso del Marketing Mix in un’ottica Marketing </w:t>
      </w:r>
      <w:proofErr w:type="spellStart"/>
      <w:r>
        <w:rPr>
          <w:rFonts w:ascii="Times New Roman" w:eastAsia="Times New Roman" w:hAnsi="Times New Roman" w:cs="Times New Roman"/>
          <w:sz w:val="24"/>
          <w:szCs w:val="24"/>
        </w:rPr>
        <w:t>Oriented</w:t>
      </w:r>
      <w:proofErr w:type="spellEnd"/>
      <w:r>
        <w:rPr>
          <w:rFonts w:ascii="Times New Roman" w:eastAsia="Times New Roman" w:hAnsi="Times New Roman" w:cs="Times New Roman"/>
          <w:sz w:val="24"/>
          <w:szCs w:val="24"/>
        </w:rPr>
        <w:t>: Six P: Product, Price, Place, Promotion, PR, Power.</w:t>
      </w:r>
    </w:p>
    <w:p w14:paraId="5D2F47CC" w14:textId="3143898C"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Principi di base della tutela dei beni culturali. Terminologia storica e trasformazione di un concetto: dalle arti del disegno alle belle arti, dal patrimonio storico-artistico alla nozione di bene culturale. Corrispondenza tra ampliamento concettuale e attività legislativa. La necessità di un</w:t>
      </w:r>
      <w:r w:rsidR="00AF69F7">
        <w:rPr>
          <w:rFonts w:ascii="Times New Roman" w:eastAsia="Times New Roman" w:hAnsi="Times New Roman" w:cs="Times New Roman"/>
          <w:sz w:val="24"/>
          <w:szCs w:val="24"/>
        </w:rPr>
        <w:t>’</w:t>
      </w:r>
      <w:r>
        <w:rPr>
          <w:rFonts w:ascii="Times New Roman" w:eastAsia="Times New Roman" w:hAnsi="Times New Roman" w:cs="Times New Roman"/>
          <w:sz w:val="24"/>
          <w:szCs w:val="24"/>
        </w:rPr>
        <w:t>azione militante e di una tutela partecipata.</w:t>
      </w:r>
    </w:p>
    <w:p w14:paraId="79E255BE"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Storia della tutela: l’antichità e le leggi romane, il Medioevo, il Rinascimento e il recupero umanistico della storia (il caso della lettera di Raffaello), gli editti pontifici dal Quattrocento al Settecento. Tra borghesia e assolutismo: il secolo dell’estetica, degli scavi e della nascita del museo. L’editto Valenti Gonzaga (1750).</w:t>
      </w:r>
    </w:p>
    <w:p w14:paraId="7B0044CB"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Storia della tutela: l’Ottocento. Napoleone: stato laico e saccheggio. Il ruolo di Canova: promozione delle arti e restituzioni. Il chirografo di Pio VII (1802) e l’editto Pacca (1820). La diffusione del modello pontificio negli Stati preunitari. Il faticoso cammino dell’Italia unita e la nascita della Direzione generale. Tra studio e tutela: l’opera di Cavalcaselle e la “memoria” del 1863.</w:t>
      </w:r>
    </w:p>
    <w:p w14:paraId="545C19CE"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Storia dell’arte e progressi della tutela: Adolfo Venturi. Le leggi della prima metà del Novecento: 1902, 1909, 1922. Il concetto idealistico dell’arte e della storia. La riforma dell’amministrazione: nascita e trasformazione del sistema territoriale delle Soprintendenze. Il primo Direttore generale: Corrado Ricci. Il Convegno dei Soprintendenti del 1938 e la nascita dell’istituto del Restauro. Le leggi Bottai del 1939.</w:t>
      </w:r>
    </w:p>
    <w:p w14:paraId="6C56C9A0"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La Guerra, i danni e la salvaguardia del patrimonio. L’immediato dopoguerra (</w:t>
      </w:r>
      <w:proofErr w:type="spellStart"/>
      <w:r>
        <w:rPr>
          <w:rFonts w:ascii="Times New Roman" w:eastAsia="Times New Roman" w:hAnsi="Times New Roman" w:cs="Times New Roman"/>
          <w:sz w:val="24"/>
          <w:szCs w:val="24"/>
        </w:rPr>
        <w:t>Ragghianti</w:t>
      </w:r>
      <w:proofErr w:type="spellEnd"/>
      <w:r>
        <w:rPr>
          <w:rFonts w:ascii="Times New Roman" w:eastAsia="Times New Roman" w:hAnsi="Times New Roman" w:cs="Times New Roman"/>
          <w:sz w:val="24"/>
          <w:szCs w:val="24"/>
        </w:rPr>
        <w:t xml:space="preserve">, Bianchi Bandinelli) e la formulazione dell’articolo 9 della Costituzione. Le leggi </w:t>
      </w:r>
      <w:r>
        <w:rPr>
          <w:rFonts w:ascii="Times New Roman" w:eastAsia="Times New Roman" w:hAnsi="Times New Roman" w:cs="Times New Roman"/>
          <w:sz w:val="24"/>
          <w:szCs w:val="24"/>
        </w:rPr>
        <w:lastRenderedPageBreak/>
        <w:t>internazionali. Gli anni cinquanta: dalla ricostruzione al boom economico. I lavori della Commissione Franceschini (1963-66). La nascita del Ministero per i beni culturali e ambientali (1974).</w:t>
      </w:r>
    </w:p>
    <w:p w14:paraId="5881FE80"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Le spinte regionalistiche degli anni settanta. Una nuova concezione della storia dell’arte e dell’archeologia: la cultura materiale, la visione antropologica, il territorio e il rapporto centro/periferia. La catalogazione e l’ICCD (la direzione di Oreste Ferrari). Il restauro e la manutenzione programmata (la direzione di Giovanni Urbani). Gli anni ’80: tra sprechi (i “giacimenti culturali”) e nuovi progetti (Memorabilia).</w:t>
      </w:r>
    </w:p>
    <w:p w14:paraId="0E0D6C9D"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Dagli anni ottanta agli anni novanta: tra innovazione e deriva economicistica. La società postmoderna e la concezione spettacolare dell’arte (mostre, restauri, sponsor). Il disegno di legge Argan-Chiarante per una amministrazione autonoma (1989). Il nuovo Ministero e le nuove leggi (il Testo unico del 1999).</w:t>
      </w:r>
    </w:p>
    <w:p w14:paraId="340C7D08"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Il nuovo Codice dei beni culturali e del paesaggio (2004). Le spinte alla privatizzazione e alla svendita del patrimonio. L’attuale struttura e il funzionamento del Ministero per i beni e le attività culturali. Organi centrali, periferici, consultivi.</w:t>
      </w:r>
    </w:p>
    <w:p w14:paraId="5E256602"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Tutela, partecipazione e cittadinanza: le associazioni, l’educazione al patrimonio (la scuola, le visite guidate), i mezzi di informazione (televisioni, giornali, internet). Pubblico e privato.</w:t>
      </w:r>
    </w:p>
    <w:p w14:paraId="5BC74D37"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Tutela e territorio: il problema del rapporto tra Stato, Regioni, Enti locali. L’autonomia dei musei. Forme della conoscenza, della tutela e della valorizzazione. Esempi virtuosi e problemi irrisolti.</w:t>
      </w:r>
    </w:p>
    <w:p w14:paraId="07EA25CE"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Le professioni della tutela: archeologi, storici dell’arte, architetti, restauratori, archivisti, bibliotecari, antropologi e le nuove professionalità.</w:t>
      </w:r>
    </w:p>
    <w:p w14:paraId="3CB8F5C0"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L’evoluzione del concetto di bene culturale nella legislazione italiana; La formazione storica della legge di tutela del patrimonio storico ed artistico (Legge 1 Giugno 1939 n. 1089) e le prospettive di riforma fino alla emanazione del Codice dei beni culturali e del paesaggio (Decreto Legislativo 22 Gennaio 2004 n. 42); Il turismo e la valorizzazione dei beni culturali </w:t>
      </w:r>
      <w:r>
        <w:rPr>
          <w:rFonts w:ascii="Times New Roman" w:eastAsia="Times New Roman" w:hAnsi="Times New Roman" w:cs="Times New Roman"/>
          <w:sz w:val="24"/>
          <w:szCs w:val="24"/>
        </w:rPr>
        <w:lastRenderedPageBreak/>
        <w:t>quale materia di competenza regionale dopo la riforma del Titolo Quinto della Costituzione; la soppressione del Ministero del Turismo e le autorità operanti a livello locale; La tutela del paesaggio: la pianificazione paesaggistica; Principi della tutela dell’ambiente e d.lgs. 3 aprile 2006, n. 152</w:t>
      </w:r>
    </w:p>
    <w:p w14:paraId="1EB89D25" w14:textId="03B1DFCA"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 Il contesto mondiale e gli organismi internazionali. I possibili sviluppi della tutela.</w:t>
      </w:r>
    </w:p>
    <w:p w14:paraId="59E30C7E" w14:textId="17F19D0F" w:rsidR="0016696C" w:rsidRDefault="0016696C">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Gli intellettuali e il dibattito in difesa dei beni culturali nel Novecento. Questioni siciliane. Il furto della Natività di Caravaggio. Gli interventi </w:t>
      </w:r>
      <w:proofErr w:type="gramStart"/>
      <w:r>
        <w:rPr>
          <w:rFonts w:ascii="Times New Roman" w:eastAsia="Times New Roman" w:hAnsi="Times New Roman" w:cs="Times New Roman"/>
          <w:sz w:val="24"/>
          <w:szCs w:val="24"/>
        </w:rPr>
        <w:t>di  Leonardo</w:t>
      </w:r>
      <w:proofErr w:type="gramEnd"/>
      <w:r>
        <w:rPr>
          <w:rFonts w:ascii="Times New Roman" w:eastAsia="Times New Roman" w:hAnsi="Times New Roman" w:cs="Times New Roman"/>
          <w:sz w:val="24"/>
          <w:szCs w:val="24"/>
        </w:rPr>
        <w:t xml:space="preserve"> Sciascia sulla tutela. Cultura e politica.</w:t>
      </w:r>
    </w:p>
    <w:p w14:paraId="2B71587A"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E70974" w14:textId="77777777" w:rsidR="009567B4"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Bibliografia / testi di riferimento </w:t>
      </w:r>
      <w:r>
        <w:rPr>
          <w:rFonts w:ascii="Times New Roman" w:eastAsia="Times New Roman" w:hAnsi="Times New Roman" w:cs="Times New Roman"/>
          <w:sz w:val="24"/>
          <w:szCs w:val="24"/>
        </w:rPr>
        <w:t>(ulteriori testi e approfondimenti bibliografici saranno forniti durante il corso, anche in relazione alla didattica on line, molti materiali non reperibili fisicamente possono essere sostituiti da dispense e materiali telematici concordandoli con il docente)</w:t>
      </w:r>
    </w:p>
    <w:p w14:paraId="49CCB74B" w14:textId="091E1A15" w:rsidR="009567B4" w:rsidRPr="009567B4" w:rsidRDefault="009567B4">
      <w:pPr>
        <w:shd w:val="clear" w:color="auto" w:fill="FFFFFF"/>
        <w:spacing w:before="240" w:line="392"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w:t>
      </w:r>
      <w:r w:rsidRPr="009567B4">
        <w:rPr>
          <w:rFonts w:ascii="Times New Roman" w:eastAsia="Times New Roman" w:hAnsi="Times New Roman" w:cs="Times New Roman"/>
          <w:sz w:val="24"/>
          <w:szCs w:val="24"/>
          <w:u w:val="single"/>
        </w:rPr>
        <w:t>esto di base:</w:t>
      </w:r>
    </w:p>
    <w:p w14:paraId="05FCED3A" w14:textId="4DA09A54"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Tosco, </w:t>
      </w:r>
      <w:r>
        <w:rPr>
          <w:rFonts w:ascii="Times New Roman" w:eastAsia="Times New Roman" w:hAnsi="Times New Roman" w:cs="Times New Roman"/>
          <w:i/>
          <w:sz w:val="24"/>
          <w:szCs w:val="24"/>
        </w:rPr>
        <w:t>I Beni culturali. Storia, tutela e conservazione</w:t>
      </w:r>
      <w:r>
        <w:rPr>
          <w:rFonts w:ascii="Times New Roman" w:eastAsia="Times New Roman" w:hAnsi="Times New Roman" w:cs="Times New Roman"/>
          <w:sz w:val="24"/>
          <w:szCs w:val="24"/>
        </w:rPr>
        <w:t>, Bologna, Il Mulino, 2014.</w:t>
      </w:r>
    </w:p>
    <w:p w14:paraId="5BE0A478" w14:textId="77777777" w:rsidR="009567B4"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Alcuni testi sono liberamente reperibili sul web, gli altri saranno messi a disposizione dal docente, insieme ai materiali illustrati durante le lezioni.</w:t>
      </w:r>
    </w:p>
    <w:p w14:paraId="5F797F1A" w14:textId="4391BE91"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l’introduzione generale e storica andranno studiate le tre ampie voci enciclopediche di Oreste Ferrari del 1966, 1977, 1998 (N.B. Le tre voci devono essere lette anche come documento della trasformazione del concetto di tutela nella seconda metà del Novecento, andrà quindi fatta una lettura critica e comparata):</w:t>
      </w:r>
    </w:p>
    <w:p w14:paraId="530DDFE3" w14:textId="254D5971"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Oreste Ferrari, </w:t>
      </w:r>
      <w:r>
        <w:rPr>
          <w:rFonts w:ascii="Times New Roman" w:eastAsia="Times New Roman" w:hAnsi="Times New Roman" w:cs="Times New Roman"/>
          <w:i/>
          <w:sz w:val="24"/>
          <w:szCs w:val="24"/>
        </w:rPr>
        <w:t>Tutela dei monumenti e delle opere d’arte</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Enciclopedia Universale dell’Arte</w:t>
      </w:r>
      <w:r>
        <w:rPr>
          <w:rFonts w:ascii="Times New Roman" w:eastAsia="Times New Roman" w:hAnsi="Times New Roman" w:cs="Times New Roman"/>
          <w:sz w:val="24"/>
          <w:szCs w:val="24"/>
        </w:rPr>
        <w:t xml:space="preserve">, vol. XIV, Istituto per la Collaborazione Culturale, Venezia-Roma, 1966, </w:t>
      </w:r>
      <w:proofErr w:type="spellStart"/>
      <w:r>
        <w:rPr>
          <w:rFonts w:ascii="Times New Roman" w:eastAsia="Times New Roman" w:hAnsi="Times New Roman" w:cs="Times New Roman"/>
          <w:sz w:val="24"/>
          <w:szCs w:val="24"/>
        </w:rPr>
        <w:t>coll</w:t>
      </w:r>
      <w:proofErr w:type="spellEnd"/>
      <w:r>
        <w:rPr>
          <w:rFonts w:ascii="Times New Roman" w:eastAsia="Times New Roman" w:hAnsi="Times New Roman" w:cs="Times New Roman"/>
          <w:sz w:val="24"/>
          <w:szCs w:val="24"/>
        </w:rPr>
        <w:t xml:space="preserve">. 268-289. (Soprattutto lo stralcio della parte generale introduttiva, intitolata </w:t>
      </w:r>
      <w:r>
        <w:rPr>
          <w:rFonts w:ascii="Times New Roman" w:eastAsia="Times New Roman" w:hAnsi="Times New Roman" w:cs="Times New Roman"/>
          <w:i/>
          <w:sz w:val="24"/>
          <w:szCs w:val="24"/>
        </w:rPr>
        <w:t>Princìpi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w:t>
      </w:r>
      <w:proofErr w:type="spellEnd"/>
      <w:r>
        <w:rPr>
          <w:rFonts w:ascii="Times New Roman" w:eastAsia="Times New Roman" w:hAnsi="Times New Roman" w:cs="Times New Roman"/>
          <w:sz w:val="24"/>
          <w:szCs w:val="24"/>
        </w:rPr>
        <w:t xml:space="preserve">. 270-274; riedito col titolo: </w:t>
      </w:r>
      <w:r>
        <w:rPr>
          <w:rFonts w:ascii="Times New Roman" w:eastAsia="Times New Roman" w:hAnsi="Times New Roman" w:cs="Times New Roman"/>
          <w:i/>
          <w:sz w:val="24"/>
          <w:szCs w:val="24"/>
        </w:rPr>
        <w:t>Introduzione alla Tutela dei monumenti e delle opere d’arte</w:t>
      </w:r>
      <w:r>
        <w:rPr>
          <w:rFonts w:ascii="Times New Roman" w:eastAsia="Times New Roman" w:hAnsi="Times New Roman" w:cs="Times New Roman"/>
          <w:sz w:val="24"/>
          <w:szCs w:val="24"/>
        </w:rPr>
        <w:t xml:space="preserve">, in Oreste </w:t>
      </w:r>
      <w:r>
        <w:rPr>
          <w:rFonts w:ascii="Times New Roman" w:eastAsia="Times New Roman" w:hAnsi="Times New Roman" w:cs="Times New Roman"/>
          <w:sz w:val="24"/>
          <w:szCs w:val="24"/>
        </w:rPr>
        <w:lastRenderedPageBreak/>
        <w:t xml:space="preserve">Ferrari, </w:t>
      </w:r>
      <w:r>
        <w:rPr>
          <w:rFonts w:ascii="Times New Roman" w:eastAsia="Times New Roman" w:hAnsi="Times New Roman" w:cs="Times New Roman"/>
          <w:i/>
          <w:sz w:val="24"/>
          <w:szCs w:val="24"/>
        </w:rPr>
        <w:t>Catalogo, documentazione e tutela dei beni culturali. Scritti scelti (1966-1992)</w:t>
      </w:r>
      <w:r>
        <w:rPr>
          <w:rFonts w:ascii="Times New Roman" w:eastAsia="Times New Roman" w:hAnsi="Times New Roman" w:cs="Times New Roman"/>
          <w:sz w:val="24"/>
          <w:szCs w:val="24"/>
        </w:rPr>
        <w:t>, a cura di Claudio Gamba, «Annali dell’Associazione Bianchi Bandinelli», n. 18, Roma 2007).</w:t>
      </w:r>
    </w:p>
    <w:p w14:paraId="5652E054" w14:textId="520EF73F"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Oreste Ferrari, voce </w:t>
      </w:r>
      <w:r>
        <w:rPr>
          <w:rFonts w:ascii="Times New Roman" w:eastAsia="Times New Roman" w:hAnsi="Times New Roman" w:cs="Times New Roman"/>
          <w:i/>
          <w:sz w:val="24"/>
          <w:szCs w:val="24"/>
        </w:rPr>
        <w:t>Patrimonio monumentale e artistico</w:t>
      </w:r>
      <w:r>
        <w:rPr>
          <w:rFonts w:ascii="Times New Roman" w:eastAsia="Times New Roman" w:hAnsi="Times New Roman" w:cs="Times New Roman"/>
          <w:sz w:val="24"/>
          <w:szCs w:val="24"/>
        </w:rPr>
        <w:t xml:space="preserve">, in Enciclopedia del Novecento, Istituto della Enciclopedia Italiana, Roma 1977; e l’aggiornamento nella stessa Enciclopedia del Novecento: Oreste Ferrari, voce </w:t>
      </w:r>
      <w:r>
        <w:rPr>
          <w:rFonts w:ascii="Times New Roman" w:eastAsia="Times New Roman" w:hAnsi="Times New Roman" w:cs="Times New Roman"/>
          <w:i/>
          <w:sz w:val="24"/>
          <w:szCs w:val="24"/>
        </w:rPr>
        <w:t>Beni culturali, II supplemento</w:t>
      </w:r>
      <w:r>
        <w:rPr>
          <w:rFonts w:ascii="Times New Roman" w:eastAsia="Times New Roman" w:hAnsi="Times New Roman" w:cs="Times New Roman"/>
          <w:sz w:val="24"/>
          <w:szCs w:val="24"/>
        </w:rPr>
        <w:t>, Roma 1998. Le due voci sono anche scaricabili sul sito Treccani.it.</w:t>
      </w:r>
    </w:p>
    <w:p w14:paraId="3D39B195" w14:textId="2AB62FA0" w:rsidR="00B10AE1" w:rsidRPr="009567B4" w:rsidRDefault="009567B4">
      <w:pPr>
        <w:shd w:val="clear" w:color="auto" w:fill="FFFFFF"/>
        <w:spacing w:before="240" w:line="392" w:lineRule="auto"/>
        <w:rPr>
          <w:rFonts w:ascii="Times New Roman" w:eastAsia="Times New Roman" w:hAnsi="Times New Roman" w:cs="Times New Roman"/>
          <w:sz w:val="24"/>
          <w:szCs w:val="24"/>
          <w:u w:val="single"/>
        </w:rPr>
      </w:pPr>
      <w:r w:rsidRPr="009567B4">
        <w:rPr>
          <w:rFonts w:ascii="Times New Roman" w:eastAsia="Times New Roman" w:hAnsi="Times New Roman" w:cs="Times New Roman"/>
          <w:sz w:val="24"/>
          <w:szCs w:val="24"/>
          <w:u w:val="single"/>
        </w:rPr>
        <w:t>Per alcuni aspetti del dibattito più recente:</w:t>
      </w:r>
    </w:p>
    <w:p w14:paraId="695E6C94" w14:textId="23301B15"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Salvatore Settis, due saggi dal volume </w:t>
      </w:r>
      <w:r>
        <w:rPr>
          <w:rFonts w:ascii="Times New Roman" w:eastAsia="Times New Roman" w:hAnsi="Times New Roman" w:cs="Times New Roman"/>
          <w:i/>
          <w:sz w:val="24"/>
          <w:szCs w:val="24"/>
        </w:rPr>
        <w:t>Battaglie senza eroi. I beni culturali tra istituzioni e profitto</w:t>
      </w:r>
      <w:r>
        <w:rPr>
          <w:rFonts w:ascii="Times New Roman" w:eastAsia="Times New Roman" w:hAnsi="Times New Roman" w:cs="Times New Roman"/>
          <w:sz w:val="24"/>
          <w:szCs w:val="24"/>
        </w:rPr>
        <w:t xml:space="preserve">, Electa, Milano 2005, i due saggi sono: </w:t>
      </w:r>
      <w:r>
        <w:rPr>
          <w:rFonts w:ascii="Times New Roman" w:eastAsia="Times New Roman" w:hAnsi="Times New Roman" w:cs="Times New Roman"/>
          <w:i/>
          <w:sz w:val="24"/>
          <w:szCs w:val="24"/>
        </w:rPr>
        <w:t xml:space="preserve">Un promemoria per i beni culturali </w:t>
      </w:r>
      <w:r>
        <w:rPr>
          <w:rFonts w:ascii="Times New Roman" w:eastAsia="Times New Roman" w:hAnsi="Times New Roman" w:cs="Times New Roman"/>
          <w:sz w:val="24"/>
          <w:szCs w:val="24"/>
        </w:rPr>
        <w:t xml:space="preserve">(pp. 49-69) e </w:t>
      </w:r>
      <w:r>
        <w:rPr>
          <w:rFonts w:ascii="Times New Roman" w:eastAsia="Times New Roman" w:hAnsi="Times New Roman" w:cs="Times New Roman"/>
          <w:i/>
          <w:sz w:val="24"/>
          <w:szCs w:val="24"/>
        </w:rPr>
        <w:t xml:space="preserve">Il futuro del patrimonio culturale in Italia </w:t>
      </w:r>
      <w:r>
        <w:rPr>
          <w:rFonts w:ascii="Times New Roman" w:eastAsia="Times New Roman" w:hAnsi="Times New Roman" w:cs="Times New Roman"/>
          <w:sz w:val="24"/>
          <w:szCs w:val="24"/>
        </w:rPr>
        <w:t>(pp. 267-296).</w:t>
      </w:r>
    </w:p>
    <w:p w14:paraId="66786698" w14:textId="16ED40C1"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Salvatore Settis, </w:t>
      </w:r>
      <w:r>
        <w:rPr>
          <w:rFonts w:ascii="Times New Roman" w:eastAsia="Times New Roman" w:hAnsi="Times New Roman" w:cs="Times New Roman"/>
          <w:i/>
          <w:sz w:val="24"/>
          <w:szCs w:val="24"/>
        </w:rPr>
        <w:t>Italia Spa. L’assalto al patrimonio culturale</w:t>
      </w:r>
      <w:r>
        <w:rPr>
          <w:rFonts w:ascii="Times New Roman" w:eastAsia="Times New Roman" w:hAnsi="Times New Roman" w:cs="Times New Roman"/>
          <w:sz w:val="24"/>
          <w:szCs w:val="24"/>
        </w:rPr>
        <w:t>, Einaudi, Torino 2002</w:t>
      </w:r>
    </w:p>
    <w:p w14:paraId="3404C696" w14:textId="554F6B34" w:rsidR="00B10AE1" w:rsidRDefault="009567B4">
      <w:pPr>
        <w:shd w:val="clear" w:color="auto" w:fill="FFFFFF"/>
        <w:spacing w:before="240" w:line="392"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Per la parte monografica:</w:t>
      </w:r>
    </w:p>
    <w:p w14:paraId="64F154B2" w14:textId="67069333" w:rsidR="00C63F16" w:rsidRDefault="00C63F16" w:rsidP="009567B4">
      <w:pPr>
        <w:pStyle w:val="Paragrafoelenco"/>
        <w:numPr>
          <w:ilvl w:val="0"/>
          <w:numId w:val="1"/>
        </w:numPr>
        <w:shd w:val="clear" w:color="auto" w:fill="FFFFFF"/>
        <w:spacing w:before="240" w:line="392" w:lineRule="auto"/>
        <w:rPr>
          <w:rFonts w:ascii="Times New Roman" w:eastAsia="Times New Roman" w:hAnsi="Times New Roman" w:cs="Times New Roman"/>
          <w:sz w:val="24"/>
          <w:szCs w:val="24"/>
        </w:rPr>
      </w:pPr>
      <w:r w:rsidRPr="00C63F16">
        <w:rPr>
          <w:rFonts w:ascii="Times New Roman" w:eastAsia="Times New Roman" w:hAnsi="Times New Roman" w:cs="Times New Roman"/>
          <w:i/>
          <w:iCs/>
          <w:sz w:val="24"/>
          <w:szCs w:val="24"/>
        </w:rPr>
        <w:t>Critica d’arte e tutela in Italia: figure e protagonisti nel secondo dopoguerra</w:t>
      </w:r>
      <w:r>
        <w:rPr>
          <w:rFonts w:ascii="Times New Roman" w:eastAsia="Times New Roman" w:hAnsi="Times New Roman" w:cs="Times New Roman"/>
          <w:sz w:val="24"/>
          <w:szCs w:val="24"/>
        </w:rPr>
        <w:t xml:space="preserve">, atti del Convegno del X anniversario della Società Italiana di Storia della Critica d’Arte, a cura di C. Galassi, </w:t>
      </w:r>
      <w:proofErr w:type="spellStart"/>
      <w:r>
        <w:rPr>
          <w:rFonts w:ascii="Times New Roman" w:eastAsia="Times New Roman" w:hAnsi="Times New Roman" w:cs="Times New Roman"/>
          <w:sz w:val="24"/>
          <w:szCs w:val="24"/>
        </w:rPr>
        <w:t>Aguaplano</w:t>
      </w:r>
      <w:proofErr w:type="spellEnd"/>
      <w:r>
        <w:rPr>
          <w:rFonts w:ascii="Times New Roman" w:eastAsia="Times New Roman" w:hAnsi="Times New Roman" w:cs="Times New Roman"/>
          <w:sz w:val="24"/>
          <w:szCs w:val="24"/>
        </w:rPr>
        <w:t>, Passignano 2017.</w:t>
      </w:r>
    </w:p>
    <w:p w14:paraId="0249F34F" w14:textId="77777777" w:rsidR="00C63F16" w:rsidRDefault="00C63F16" w:rsidP="00C63F16">
      <w:pPr>
        <w:pStyle w:val="Paragrafoelenco"/>
        <w:shd w:val="clear" w:color="auto" w:fill="FFFFFF"/>
        <w:spacing w:before="240" w:line="392" w:lineRule="auto"/>
        <w:rPr>
          <w:rFonts w:ascii="Times New Roman" w:eastAsia="Times New Roman" w:hAnsi="Times New Roman" w:cs="Times New Roman"/>
          <w:sz w:val="24"/>
          <w:szCs w:val="24"/>
        </w:rPr>
      </w:pPr>
    </w:p>
    <w:p w14:paraId="36433B83" w14:textId="3589077F" w:rsidR="00B10AE1" w:rsidRPr="009567B4" w:rsidRDefault="009567B4" w:rsidP="009567B4">
      <w:pPr>
        <w:pStyle w:val="Paragrafoelenco"/>
        <w:numPr>
          <w:ilvl w:val="0"/>
          <w:numId w:val="1"/>
        </w:numPr>
        <w:shd w:val="clear" w:color="auto" w:fill="FFFFFF"/>
        <w:spacing w:before="240" w:line="392" w:lineRule="auto"/>
        <w:rPr>
          <w:rFonts w:ascii="Times New Roman" w:eastAsia="Times New Roman" w:hAnsi="Times New Roman" w:cs="Times New Roman"/>
          <w:sz w:val="24"/>
          <w:szCs w:val="24"/>
        </w:rPr>
      </w:pPr>
      <w:r w:rsidRPr="009567B4">
        <w:rPr>
          <w:rFonts w:ascii="Times New Roman" w:eastAsia="Times New Roman" w:hAnsi="Times New Roman" w:cs="Times New Roman"/>
          <w:sz w:val="24"/>
          <w:szCs w:val="24"/>
        </w:rPr>
        <w:t xml:space="preserve">Giuseppe Cipolla, </w:t>
      </w:r>
      <w:r w:rsidRPr="009567B4">
        <w:rPr>
          <w:rFonts w:ascii="Times New Roman" w:eastAsia="Times New Roman" w:hAnsi="Times New Roman" w:cs="Times New Roman"/>
          <w:i/>
          <w:sz w:val="24"/>
          <w:szCs w:val="24"/>
        </w:rPr>
        <w:t>“Ai pochi felici”. Leonardo Sciascia e le arti visive. Un caleidoscopio critico</w:t>
      </w:r>
      <w:r w:rsidRPr="009567B4">
        <w:rPr>
          <w:rFonts w:ascii="Times New Roman" w:eastAsia="Times New Roman" w:hAnsi="Times New Roman" w:cs="Times New Roman"/>
          <w:sz w:val="24"/>
          <w:szCs w:val="24"/>
        </w:rPr>
        <w:t xml:space="preserve">, prefazione di G.C. Sciolla, Edizioni </w:t>
      </w:r>
      <w:proofErr w:type="spellStart"/>
      <w:r w:rsidRPr="009567B4">
        <w:rPr>
          <w:rFonts w:ascii="Times New Roman" w:eastAsia="Times New Roman" w:hAnsi="Times New Roman" w:cs="Times New Roman"/>
          <w:sz w:val="24"/>
          <w:szCs w:val="24"/>
        </w:rPr>
        <w:t>Caracol</w:t>
      </w:r>
      <w:proofErr w:type="spellEnd"/>
      <w:r w:rsidRPr="009567B4">
        <w:rPr>
          <w:rFonts w:ascii="Times New Roman" w:eastAsia="Times New Roman" w:hAnsi="Times New Roman" w:cs="Times New Roman"/>
          <w:sz w:val="24"/>
          <w:szCs w:val="24"/>
        </w:rPr>
        <w:t xml:space="preserve">, Palermo, 2020 (segnatamente i capitoli dedicati alla difesa dei beni culturali e al furto della </w:t>
      </w:r>
      <w:r w:rsidRPr="009567B4">
        <w:rPr>
          <w:rFonts w:ascii="Times New Roman" w:eastAsia="Times New Roman" w:hAnsi="Times New Roman" w:cs="Times New Roman"/>
          <w:i/>
          <w:sz w:val="24"/>
          <w:szCs w:val="24"/>
        </w:rPr>
        <w:t xml:space="preserve">Natività </w:t>
      </w:r>
      <w:r w:rsidRPr="009567B4">
        <w:rPr>
          <w:rFonts w:ascii="Times New Roman" w:eastAsia="Times New Roman" w:hAnsi="Times New Roman" w:cs="Times New Roman"/>
          <w:sz w:val="24"/>
          <w:szCs w:val="24"/>
        </w:rPr>
        <w:t>di Caravaggio).</w:t>
      </w:r>
    </w:p>
    <w:p w14:paraId="4C4EF452"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Accanto alla trattazione generale vanno approfonditi alcuni temi specifici attraverso letture che saranno messe a disposizione dal docente durante le lezioni. Andranno inoltre letti alcuni testi di importanti figure della storia della tutela in Italia; il docente predisporrà una scelta di brevi articoli di Ranuccio Bianchi Bandinelli, Cesare Brandi, Giulio Carlo Argan, Carlo Ludovico </w:t>
      </w:r>
      <w:proofErr w:type="spellStart"/>
      <w:r>
        <w:rPr>
          <w:rFonts w:ascii="Times New Roman" w:eastAsia="Times New Roman" w:hAnsi="Times New Roman" w:cs="Times New Roman"/>
          <w:sz w:val="24"/>
          <w:szCs w:val="24"/>
        </w:rPr>
        <w:t>Ragghianti</w:t>
      </w:r>
      <w:proofErr w:type="spellEnd"/>
      <w:r>
        <w:rPr>
          <w:rFonts w:ascii="Times New Roman" w:eastAsia="Times New Roman" w:hAnsi="Times New Roman" w:cs="Times New Roman"/>
          <w:sz w:val="24"/>
          <w:szCs w:val="24"/>
        </w:rPr>
        <w:t>, Leonardo Sciascia e altri autori.</w:t>
      </w:r>
    </w:p>
    <w:p w14:paraId="0BFFBE91" w14:textId="77777777" w:rsidR="00B10AE1" w:rsidRDefault="009567B4">
      <w:pPr>
        <w:shd w:val="clear" w:color="auto" w:fill="FFFFFF"/>
        <w:spacing w:before="240" w:line="39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Modalità d'esame</w:t>
      </w:r>
    </w:p>
    <w:p w14:paraId="6D3E6CCE" w14:textId="77777777" w:rsidR="00B10AE1" w:rsidRDefault="009567B4">
      <w:pPr>
        <w:shd w:val="clear" w:color="auto" w:fill="FFFFFF"/>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L'esame finale consiste in un colloquio orale. Dal colloquio deve risultare la piena padronanza delle tematiche affrontate nel corso, sia sotto il profilo della storia della tutela (contestualizzazione e terminologia) e sia l’attuale assetto normativo e organizzativo del settore del patrimonio culturale. Lo studente dovrà anche presentare in sede di esame un progetto di conservazione e/o valorizzazione di un bene culturale del territorio o nazionale a sua scelta, le cui modalità di elaborazione saranno indicate dal docente durante il corso. Durante il corso potranno essere previste prove o elaborati che saranno valutati in itinere, al fine di pervenire all’esame finale con una valutazione orientativa del candidato.</w:t>
      </w:r>
    </w:p>
    <w:p w14:paraId="0EE11A84" w14:textId="77777777" w:rsidR="00B10AE1" w:rsidRDefault="009567B4">
      <w:pPr>
        <w:shd w:val="clear" w:color="auto" w:fill="FFFFFF"/>
        <w:spacing w:before="240" w:line="392"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Propedeuticità obbligatorie</w:t>
      </w:r>
    </w:p>
    <w:p w14:paraId="6CC30135" w14:textId="77777777"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Gli studenti devono aver già acquisito nozioni di base di Storia dell'arte medievale, Storia dell'arte moderna, Storia dell'arte contemporanea, Museologia.</w:t>
      </w:r>
    </w:p>
    <w:p w14:paraId="1012447E" w14:textId="77777777" w:rsidR="00B10AE1" w:rsidRDefault="009567B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Modalità di verifica dell’apprendimento</w:t>
      </w:r>
    </w:p>
    <w:p w14:paraId="27DA6187" w14:textId="1A726418"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Esame orale e tesina progettuale</w:t>
      </w:r>
    </w:p>
    <w:p w14:paraId="7FDC4404" w14:textId="77777777" w:rsidR="00B10AE1" w:rsidRDefault="009567B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2A54B3" w14:textId="77777777" w:rsidR="00B10AE1" w:rsidRDefault="009567B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Lingua di insegnamento</w:t>
      </w:r>
    </w:p>
    <w:p w14:paraId="33002B9F" w14:textId="77777777"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Italiano</w:t>
      </w:r>
    </w:p>
    <w:p w14:paraId="28964F60" w14:textId="77777777"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6FDCD5" w14:textId="77777777"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77B1BE" w14:textId="6A244054"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r w:rsidR="00DB453B">
        <w:rPr>
          <w:rFonts w:ascii="Times New Roman" w:eastAsia="Times New Roman" w:hAnsi="Times New Roman" w:cs="Times New Roman"/>
          <w:sz w:val="24"/>
          <w:szCs w:val="24"/>
        </w:rPr>
        <w:t>0</w:t>
      </w:r>
      <w:r w:rsidR="00273EB0">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273EB0">
        <w:rPr>
          <w:rFonts w:ascii="Times New Roman" w:eastAsia="Times New Roman" w:hAnsi="Times New Roman" w:cs="Times New Roman"/>
          <w:sz w:val="24"/>
          <w:szCs w:val="24"/>
        </w:rPr>
        <w:t>03</w:t>
      </w:r>
      <w:r>
        <w:rPr>
          <w:rFonts w:ascii="Times New Roman" w:eastAsia="Times New Roman" w:hAnsi="Times New Roman" w:cs="Times New Roman"/>
          <w:sz w:val="24"/>
          <w:szCs w:val="24"/>
        </w:rPr>
        <w:t>/202</w:t>
      </w:r>
      <w:r w:rsidR="00273EB0">
        <w:rPr>
          <w:rFonts w:ascii="Times New Roman" w:eastAsia="Times New Roman" w:hAnsi="Times New Roman" w:cs="Times New Roman"/>
          <w:sz w:val="24"/>
          <w:szCs w:val="24"/>
        </w:rPr>
        <w:t>4</w:t>
      </w:r>
    </w:p>
    <w:p w14:paraId="61EAA21C" w14:textId="77777777"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59EF15" w14:textId="77777777" w:rsidR="00B10AE1" w:rsidRDefault="009567B4">
      <w:pPr>
        <w:spacing w:line="360" w:lineRule="auto"/>
        <w:ind w:left="7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Firma</w:t>
      </w:r>
      <w:r>
        <w:rPr>
          <w:noProof/>
        </w:rPr>
        <w:drawing>
          <wp:anchor distT="114300" distB="114300" distL="114300" distR="114300" simplePos="0" relativeHeight="251658240" behindDoc="0" locked="0" layoutInCell="1" hidden="0" allowOverlap="1" wp14:anchorId="64C30074" wp14:editId="27F5432D">
            <wp:simplePos x="0" y="0"/>
            <wp:positionH relativeFrom="column">
              <wp:posOffset>3886200</wp:posOffset>
            </wp:positionH>
            <wp:positionV relativeFrom="paragraph">
              <wp:posOffset>314325</wp:posOffset>
            </wp:positionV>
            <wp:extent cx="2224088" cy="686631"/>
            <wp:effectExtent l="0" t="0" r="0" b="0"/>
            <wp:wrapTopAndBottom distT="114300" distB="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224088" cy="686631"/>
                    </a:xfrm>
                    <a:prstGeom prst="rect">
                      <a:avLst/>
                    </a:prstGeom>
                    <a:ln/>
                  </pic:spPr>
                </pic:pic>
              </a:graphicData>
            </a:graphic>
          </wp:anchor>
        </w:drawing>
      </w:r>
    </w:p>
    <w:p w14:paraId="7235A31C" w14:textId="77777777" w:rsidR="00B10AE1" w:rsidRDefault="009567B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602C05BB" w14:textId="0BC4B754" w:rsidR="00B10AE1" w:rsidRDefault="009567B4" w:rsidP="00273EB0">
      <w:pPr>
        <w:spacing w:line="360" w:lineRule="auto"/>
        <w:ind w:left="4960"/>
        <w:jc w:val="both"/>
      </w:pPr>
      <w:r>
        <w:rPr>
          <w:rFonts w:ascii="Times New Roman" w:eastAsia="Times New Roman" w:hAnsi="Times New Roman" w:cs="Times New Roman"/>
          <w:sz w:val="24"/>
          <w:szCs w:val="24"/>
        </w:rPr>
        <w:t xml:space="preserve"> </w:t>
      </w:r>
    </w:p>
    <w:sectPr w:rsidR="00B10AE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E1CB4"/>
    <w:multiLevelType w:val="hybridMultilevel"/>
    <w:tmpl w:val="3D3A5570"/>
    <w:lvl w:ilvl="0" w:tplc="EA02DEC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E1"/>
    <w:rsid w:val="0016696C"/>
    <w:rsid w:val="00273EB0"/>
    <w:rsid w:val="0085082B"/>
    <w:rsid w:val="009567B4"/>
    <w:rsid w:val="00AF69F7"/>
    <w:rsid w:val="00B10AE1"/>
    <w:rsid w:val="00C63F16"/>
    <w:rsid w:val="00C90BDA"/>
    <w:rsid w:val="00DB4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A974"/>
  <w15:docId w15:val="{9808B694-3F2E-480D-A9EF-EA7F3B94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C90BDA"/>
    <w:rPr>
      <w:color w:val="0000FF" w:themeColor="hyperlink"/>
      <w:u w:val="single"/>
    </w:rPr>
  </w:style>
  <w:style w:type="character" w:styleId="Menzionenonrisolta">
    <w:name w:val="Unresolved Mention"/>
    <w:basedOn w:val="Carpredefinitoparagrafo"/>
    <w:uiPriority w:val="99"/>
    <w:semiHidden/>
    <w:unhideWhenUsed/>
    <w:rsid w:val="00C90BDA"/>
    <w:rPr>
      <w:color w:val="605E5C"/>
      <w:shd w:val="clear" w:color="auto" w:fill="E1DFDD"/>
    </w:rPr>
  </w:style>
  <w:style w:type="paragraph" w:styleId="Paragrafoelenco">
    <w:name w:val="List Paragraph"/>
    <w:basedOn w:val="Normale"/>
    <w:uiPriority w:val="34"/>
    <w:qFormat/>
    <w:rsid w:val="00956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2288</Words>
  <Characters>13042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 Cipolla</dc:creator>
  <cp:lastModifiedBy>Giuseppe Cipolla</cp:lastModifiedBy>
  <cp:revision>3</cp:revision>
  <dcterms:created xsi:type="dcterms:W3CDTF">2024-03-08T10:10:00Z</dcterms:created>
  <dcterms:modified xsi:type="dcterms:W3CDTF">2024-03-08T10:11:00Z</dcterms:modified>
</cp:coreProperties>
</file>